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C433" w14:textId="41FEDCD9" w:rsidR="0028397D" w:rsidRDefault="0028397D" w:rsidP="002B7E2B">
      <w:pPr>
        <w:spacing w:before="800" w:line="276" w:lineRule="auto"/>
        <w:jc w:val="both"/>
        <w:rPr>
          <w:rFonts w:ascii="Times New Roman" w:eastAsia="Calibri" w:hAnsi="Times New Roman" w:cs="Times New Roman"/>
          <w:b/>
          <w:bCs/>
        </w:rPr>
      </w:pPr>
      <w:bookmarkStart w:id="0" w:name="_Hlk54971774"/>
      <w:r>
        <w:rPr>
          <w:rFonts w:ascii="Times New Roman" w:eastAsia="Calibri" w:hAnsi="Times New Roman" w:cs="Times New Roman"/>
          <w:b/>
          <w:bCs/>
        </w:rPr>
        <w:t>To:</w:t>
      </w:r>
      <w:r w:rsidR="00E42E93">
        <w:rPr>
          <w:rFonts w:ascii="Times New Roman" w:eastAsia="Calibri" w:hAnsi="Times New Roman" w:cs="Times New Roman"/>
          <w:b/>
          <w:bCs/>
        </w:rPr>
        <w:t xml:space="preserve"> </w:t>
      </w:r>
      <w:r w:rsidR="00E42E93">
        <w:rPr>
          <w:rFonts w:ascii="Times New Roman" w:eastAsia="Calibri" w:hAnsi="Times New Roman" w:cs="Times New Roman"/>
          <w:b/>
          <w:bCs/>
        </w:rPr>
        <w:tab/>
      </w:r>
      <w:r w:rsidR="00E42E93" w:rsidRPr="00E42E93">
        <w:rPr>
          <w:rFonts w:ascii="Times New Roman" w:eastAsia="Calibri" w:hAnsi="Times New Roman" w:cs="Times New Roman"/>
        </w:rPr>
        <w:t>Foster &amp; Foster Health and Welfare Clients</w:t>
      </w:r>
    </w:p>
    <w:p w14:paraId="114D91F0" w14:textId="19D2806E" w:rsidR="0028397D" w:rsidRPr="00E42E93" w:rsidRDefault="0028397D" w:rsidP="002B7E2B">
      <w:pPr>
        <w:spacing w:before="22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From:</w:t>
      </w:r>
      <w:r w:rsidR="00E42E93">
        <w:rPr>
          <w:rFonts w:ascii="Times New Roman" w:eastAsia="Calibri" w:hAnsi="Times New Roman" w:cs="Times New Roman"/>
          <w:b/>
          <w:bCs/>
        </w:rPr>
        <w:tab/>
      </w:r>
      <w:r w:rsidR="00E42E93" w:rsidRPr="00E42E93">
        <w:rPr>
          <w:rFonts w:ascii="Times New Roman" w:eastAsia="Calibri" w:hAnsi="Times New Roman" w:cs="Times New Roman"/>
        </w:rPr>
        <w:t>Nikki Chriesman-Green, Senior Counsel</w:t>
      </w:r>
    </w:p>
    <w:p w14:paraId="3A349D12" w14:textId="6B98B7EE" w:rsidR="0028397D" w:rsidRDefault="0028397D" w:rsidP="002B7E2B">
      <w:pPr>
        <w:spacing w:before="22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Date:</w:t>
      </w:r>
      <w:r w:rsidR="00E42E93">
        <w:rPr>
          <w:rFonts w:ascii="Times New Roman" w:eastAsia="Calibri" w:hAnsi="Times New Roman" w:cs="Times New Roman"/>
          <w:b/>
          <w:bCs/>
        </w:rPr>
        <w:t xml:space="preserve"> </w:t>
      </w:r>
      <w:r w:rsidR="00E42E93">
        <w:rPr>
          <w:rFonts w:ascii="Times New Roman" w:eastAsia="Calibri" w:hAnsi="Times New Roman" w:cs="Times New Roman"/>
          <w:b/>
          <w:bCs/>
        </w:rPr>
        <w:tab/>
      </w:r>
      <w:r w:rsidR="00EF4BD9">
        <w:rPr>
          <w:rFonts w:ascii="Times New Roman" w:eastAsia="Calibri" w:hAnsi="Times New Roman" w:cs="Times New Roman"/>
        </w:rPr>
        <w:t>January 11, 2022</w:t>
      </w:r>
    </w:p>
    <w:p w14:paraId="47125262" w14:textId="218A8CFB" w:rsidR="0028397D" w:rsidRDefault="0028397D" w:rsidP="002B7E2B">
      <w:pPr>
        <w:spacing w:before="22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Re:</w:t>
      </w:r>
      <w:r w:rsidR="00E42E93">
        <w:t xml:space="preserve"> </w:t>
      </w:r>
      <w:r w:rsidR="00E42E93">
        <w:tab/>
      </w:r>
      <w:r w:rsidR="00EF4BD9">
        <w:rPr>
          <w:rFonts w:ascii="Times New Roman" w:eastAsia="Calibri" w:hAnsi="Times New Roman" w:cs="Times New Roman"/>
        </w:rPr>
        <w:t>DOL FAQ 51: COVID-19 At-home Diagnostic Testing</w:t>
      </w:r>
    </w:p>
    <w:p w14:paraId="78FFF997" w14:textId="54B17C91" w:rsidR="0062290A" w:rsidRPr="00F21373" w:rsidRDefault="0062290A" w:rsidP="002B7E2B">
      <w:pPr>
        <w:spacing w:before="600" w:after="240" w:line="276" w:lineRule="auto"/>
        <w:jc w:val="both"/>
        <w:rPr>
          <w:rFonts w:ascii="Times New Roman" w:eastAsia="Calibri" w:hAnsi="Times New Roman" w:cs="Times New Roman"/>
        </w:rPr>
      </w:pPr>
      <w:r w:rsidRPr="00F21373">
        <w:rPr>
          <w:rFonts w:ascii="Times New Roman" w:eastAsia="Calibri" w:hAnsi="Times New Roman" w:cs="Times New Roman"/>
        </w:rPr>
        <w:t xml:space="preserve">On </w:t>
      </w:r>
      <w:r w:rsidR="00F21373" w:rsidRPr="00F21373">
        <w:rPr>
          <w:rFonts w:ascii="Times New Roman" w:eastAsia="Calibri" w:hAnsi="Times New Roman" w:cs="Times New Roman"/>
        </w:rPr>
        <w:t>January 10, 2022</w:t>
      </w:r>
      <w:r w:rsidR="008532D4" w:rsidRPr="00F21373">
        <w:rPr>
          <w:rFonts w:ascii="Times New Roman" w:eastAsia="Calibri" w:hAnsi="Times New Roman" w:cs="Times New Roman"/>
        </w:rPr>
        <w:t xml:space="preserve">, </w:t>
      </w:r>
      <w:r w:rsidR="00F21373" w:rsidRPr="00F21373">
        <w:rPr>
          <w:rFonts w:ascii="Times New Roman" w:eastAsia="Calibri" w:hAnsi="Times New Roman" w:cs="Times New Roman"/>
        </w:rPr>
        <w:t>the Department of Labor (DOL)</w:t>
      </w:r>
      <w:r w:rsidR="00660BD3">
        <w:rPr>
          <w:rFonts w:ascii="Times New Roman" w:eastAsia="Calibri" w:hAnsi="Times New Roman" w:cs="Times New Roman"/>
        </w:rPr>
        <w:t>,</w:t>
      </w:r>
      <w:r w:rsidR="00F21373" w:rsidRPr="00F21373">
        <w:rPr>
          <w:rFonts w:ascii="Times New Roman" w:eastAsia="Calibri" w:hAnsi="Times New Roman" w:cs="Times New Roman"/>
        </w:rPr>
        <w:t xml:space="preserve"> in partnership with </w:t>
      </w:r>
      <w:r w:rsidR="00F21373" w:rsidRPr="00F21373">
        <w:rPr>
          <w:rFonts w:ascii="Times New Roman" w:hAnsi="Times New Roman" w:cs="Times New Roman"/>
        </w:rPr>
        <w:t>the Department of Health and Human Services (“HHS”) and the U.S. Department of the Treasury (collectively “the Departments”)</w:t>
      </w:r>
      <w:r w:rsidR="00660BD3">
        <w:rPr>
          <w:rFonts w:ascii="Times New Roman" w:hAnsi="Times New Roman" w:cs="Times New Roman"/>
        </w:rPr>
        <w:t>,</w:t>
      </w:r>
      <w:r w:rsidR="00613C7B">
        <w:rPr>
          <w:rFonts w:ascii="Times New Roman" w:hAnsi="Times New Roman" w:cs="Times New Roman"/>
        </w:rPr>
        <w:t xml:space="preserve"> </w:t>
      </w:r>
      <w:r w:rsidR="00143607" w:rsidRPr="00F21373">
        <w:rPr>
          <w:rFonts w:ascii="Times New Roman" w:eastAsia="Calibri" w:hAnsi="Times New Roman" w:cs="Times New Roman"/>
        </w:rPr>
        <w:t xml:space="preserve">issued </w:t>
      </w:r>
      <w:r w:rsidR="00CF7E1A" w:rsidRPr="00F21373">
        <w:rPr>
          <w:rFonts w:ascii="Times New Roman" w:eastAsia="Calibri" w:hAnsi="Times New Roman" w:cs="Times New Roman"/>
        </w:rPr>
        <w:t>guidance in the form of Frequently Asked Questions (FAQs) to assist plan administrators and employers in fulfilling their obligations</w:t>
      </w:r>
      <w:r w:rsidR="00730D9F" w:rsidRPr="00F21373">
        <w:rPr>
          <w:rFonts w:ascii="Times New Roman" w:eastAsia="Calibri" w:hAnsi="Times New Roman" w:cs="Times New Roman"/>
        </w:rPr>
        <w:t xml:space="preserve"> under </w:t>
      </w:r>
      <w:r w:rsidR="00613C7B">
        <w:rPr>
          <w:rFonts w:ascii="Times New Roman" w:eastAsia="Calibri" w:hAnsi="Times New Roman" w:cs="Times New Roman"/>
        </w:rPr>
        <w:t>the Families First Coronavirus</w:t>
      </w:r>
      <w:r w:rsidR="0041582B">
        <w:rPr>
          <w:rFonts w:ascii="Times New Roman" w:eastAsia="Calibri" w:hAnsi="Times New Roman" w:cs="Times New Roman"/>
        </w:rPr>
        <w:t xml:space="preserve"> Response Act</w:t>
      </w:r>
      <w:r w:rsidR="00660BD3">
        <w:rPr>
          <w:rFonts w:ascii="Times New Roman" w:eastAsia="Calibri" w:hAnsi="Times New Roman" w:cs="Times New Roman"/>
        </w:rPr>
        <w:t xml:space="preserve"> (FFCRA)</w:t>
      </w:r>
      <w:r w:rsidR="0041582B">
        <w:rPr>
          <w:rFonts w:ascii="Times New Roman" w:eastAsia="Calibri" w:hAnsi="Times New Roman" w:cs="Times New Roman"/>
        </w:rPr>
        <w:t>, the Coronavirus Aid, Relief, and Economic Security Act (CARES Act), and the Affordable Care Act (ACA) as it relates to coverage of COVID-19 diagnostic tests under group health plans during the public emergency period</w:t>
      </w:r>
      <w:r w:rsidRPr="00F21373">
        <w:rPr>
          <w:rFonts w:ascii="Times New Roman" w:eastAsia="Calibri" w:hAnsi="Times New Roman" w:cs="Times New Roman"/>
        </w:rPr>
        <w:t xml:space="preserve">.  </w:t>
      </w:r>
      <w:r w:rsidR="00A90F87">
        <w:rPr>
          <w:rFonts w:ascii="Times New Roman" w:eastAsia="Calibri" w:hAnsi="Times New Roman" w:cs="Times New Roman"/>
        </w:rPr>
        <w:t xml:space="preserve">Specifically, the FAQs address issues relating to the requirement that group health plans cover at-home and </w:t>
      </w:r>
      <w:r w:rsidR="003F1AC8">
        <w:rPr>
          <w:rFonts w:ascii="Times New Roman" w:eastAsia="Calibri" w:hAnsi="Times New Roman" w:cs="Times New Roman"/>
        </w:rPr>
        <w:t>over</w:t>
      </w:r>
      <w:r w:rsidR="00660BD3">
        <w:rPr>
          <w:rFonts w:ascii="Times New Roman" w:eastAsia="Calibri" w:hAnsi="Times New Roman" w:cs="Times New Roman"/>
        </w:rPr>
        <w:t>-</w:t>
      </w:r>
      <w:r w:rsidR="003F1AC8">
        <w:rPr>
          <w:rFonts w:ascii="Times New Roman" w:eastAsia="Calibri" w:hAnsi="Times New Roman" w:cs="Times New Roman"/>
        </w:rPr>
        <w:t>the</w:t>
      </w:r>
      <w:r w:rsidR="00660BD3">
        <w:rPr>
          <w:rFonts w:ascii="Times New Roman" w:eastAsia="Calibri" w:hAnsi="Times New Roman" w:cs="Times New Roman"/>
        </w:rPr>
        <w:t>-</w:t>
      </w:r>
      <w:r w:rsidR="003F1AC8">
        <w:rPr>
          <w:rFonts w:ascii="Times New Roman" w:eastAsia="Calibri" w:hAnsi="Times New Roman" w:cs="Times New Roman"/>
        </w:rPr>
        <w:t>counter</w:t>
      </w:r>
      <w:r w:rsidR="007A5D20">
        <w:rPr>
          <w:rFonts w:ascii="Times New Roman" w:eastAsia="Calibri" w:hAnsi="Times New Roman" w:cs="Times New Roman"/>
        </w:rPr>
        <w:t xml:space="preserve"> </w:t>
      </w:r>
      <w:r w:rsidR="00646EA1">
        <w:rPr>
          <w:rFonts w:ascii="Times New Roman" w:eastAsia="Calibri" w:hAnsi="Times New Roman" w:cs="Times New Roman"/>
        </w:rPr>
        <w:t xml:space="preserve">(OTC) </w:t>
      </w:r>
      <w:r w:rsidR="00A90F87">
        <w:rPr>
          <w:rFonts w:ascii="Times New Roman" w:eastAsia="Calibri" w:hAnsi="Times New Roman" w:cs="Times New Roman"/>
        </w:rPr>
        <w:t xml:space="preserve">COVID-19 diagnostic tests without cost-sharing </w:t>
      </w:r>
      <w:r w:rsidR="00660BD3">
        <w:rPr>
          <w:rFonts w:ascii="Times New Roman" w:eastAsia="Calibri" w:hAnsi="Times New Roman" w:cs="Times New Roman"/>
        </w:rPr>
        <w:t xml:space="preserve">or </w:t>
      </w:r>
      <w:r w:rsidR="00A90F87">
        <w:rPr>
          <w:rFonts w:ascii="Times New Roman" w:eastAsia="Calibri" w:hAnsi="Times New Roman" w:cs="Times New Roman"/>
        </w:rPr>
        <w:t xml:space="preserve">other requirements.  </w:t>
      </w:r>
    </w:p>
    <w:p w14:paraId="03881145" w14:textId="79961D55" w:rsidR="0062290A" w:rsidRPr="002B7E2B" w:rsidRDefault="007A5D20" w:rsidP="002B7E2B">
      <w:pPr>
        <w:pStyle w:val="ListParagraph"/>
        <w:numPr>
          <w:ilvl w:val="0"/>
          <w:numId w:val="15"/>
        </w:numPr>
        <w:spacing w:before="220" w:line="276" w:lineRule="auto"/>
        <w:ind w:left="360"/>
        <w:contextualSpacing w:val="0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OTC</w:t>
      </w:r>
      <w:r w:rsidR="00C2248B" w:rsidRPr="002B7E2B">
        <w:rPr>
          <w:rFonts w:ascii="Times New Roman" w:eastAsia="Calibri" w:hAnsi="Times New Roman" w:cs="Times New Roman"/>
          <w:b/>
          <w:bCs/>
        </w:rPr>
        <w:t xml:space="preserve"> COVID-19 Diagnostic Tests</w:t>
      </w:r>
    </w:p>
    <w:p w14:paraId="4A1FB4A3" w14:textId="0EF05213" w:rsidR="001F5BED" w:rsidRPr="002B7E2B" w:rsidRDefault="00A90F87" w:rsidP="002B7E2B">
      <w:pPr>
        <w:pStyle w:val="Default"/>
        <w:spacing w:before="45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B7E2B">
        <w:rPr>
          <w:rFonts w:ascii="Times New Roman" w:hAnsi="Times New Roman" w:cs="Times New Roman"/>
          <w:color w:val="auto"/>
          <w:sz w:val="22"/>
          <w:szCs w:val="22"/>
        </w:rPr>
        <w:t>As a reminder, The FFCRA includes a requirement (as amended by the CARES Act), that group health</w:t>
      </w:r>
      <w:r w:rsidR="001F5BED" w:rsidRPr="002B7E2B">
        <w:rPr>
          <w:rFonts w:ascii="Times New Roman" w:hAnsi="Times New Roman" w:cs="Times New Roman"/>
          <w:color w:val="auto"/>
          <w:sz w:val="22"/>
          <w:szCs w:val="22"/>
        </w:rPr>
        <w:t xml:space="preserve"> plans</w:t>
      </w:r>
      <w:r w:rsidRPr="002B7E2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F5BED" w:rsidRPr="002B7E2B">
        <w:rPr>
          <w:rFonts w:ascii="Times New Roman" w:hAnsi="Times New Roman" w:cs="Times New Roman"/>
          <w:sz w:val="22"/>
          <w:szCs w:val="22"/>
        </w:rPr>
        <w:t xml:space="preserve">of any size (fully insured and self-insured, including grandfathered plans) and health insurers are required to cover COVID-19 diagnostic tests and related services without cost sharing, prior authorization requirements, or other medical management requirements. Excepted benefits and retiree-only plans are exempt from this requirement. </w:t>
      </w:r>
      <w:r w:rsidR="00852393" w:rsidRPr="002B7E2B">
        <w:rPr>
          <w:rFonts w:ascii="Times New Roman" w:hAnsi="Times New Roman" w:cs="Times New Roman"/>
          <w:sz w:val="22"/>
          <w:szCs w:val="22"/>
        </w:rPr>
        <w:t>This applies to both in-network and out-of-network providers.</w:t>
      </w:r>
    </w:p>
    <w:p w14:paraId="73070530" w14:textId="2B4B5B72" w:rsidR="00AB0A49" w:rsidRPr="002B7E2B" w:rsidRDefault="00961BBA" w:rsidP="00AB0A49">
      <w:pPr>
        <w:spacing w:before="220" w:line="276" w:lineRule="auto"/>
        <w:ind w:left="360"/>
        <w:jc w:val="both"/>
        <w:rPr>
          <w:rFonts w:ascii="Times New Roman" w:hAnsi="Times New Roman" w:cs="Times New Roman"/>
        </w:rPr>
      </w:pPr>
      <w:r w:rsidRPr="002B7E2B">
        <w:rPr>
          <w:rFonts w:ascii="Times New Roman" w:hAnsi="Times New Roman" w:cs="Times New Roman"/>
        </w:rPr>
        <w:t>The</w:t>
      </w:r>
      <w:r w:rsidR="007A5D20">
        <w:rPr>
          <w:rFonts w:ascii="Times New Roman" w:hAnsi="Times New Roman" w:cs="Times New Roman"/>
        </w:rPr>
        <w:t>se</w:t>
      </w:r>
      <w:r w:rsidRPr="002B7E2B">
        <w:rPr>
          <w:rFonts w:ascii="Times New Roman" w:hAnsi="Times New Roman" w:cs="Times New Roman"/>
        </w:rPr>
        <w:t xml:space="preserve"> </w:t>
      </w:r>
      <w:r w:rsidR="001F5BED" w:rsidRPr="002B7E2B">
        <w:rPr>
          <w:rFonts w:ascii="Times New Roman" w:hAnsi="Times New Roman" w:cs="Times New Roman"/>
        </w:rPr>
        <w:t xml:space="preserve">recently issued </w:t>
      </w:r>
      <w:r w:rsidRPr="002B7E2B">
        <w:rPr>
          <w:rFonts w:ascii="Times New Roman" w:hAnsi="Times New Roman" w:cs="Times New Roman"/>
        </w:rPr>
        <w:t xml:space="preserve">FAQs clarify that this mandate to cover COVID-19 diagnostic testing includes coverage for at-home and </w:t>
      </w:r>
      <w:r w:rsidR="007A5D20">
        <w:rPr>
          <w:rFonts w:ascii="Times New Roman" w:hAnsi="Times New Roman" w:cs="Times New Roman"/>
        </w:rPr>
        <w:t>OTC</w:t>
      </w:r>
      <w:r w:rsidRPr="002B7E2B">
        <w:rPr>
          <w:rFonts w:ascii="Times New Roman" w:hAnsi="Times New Roman" w:cs="Times New Roman"/>
        </w:rPr>
        <w:t xml:space="preserve"> COVID-19 diagnostic tests</w:t>
      </w:r>
      <w:r w:rsidR="008414B5" w:rsidRPr="002B7E2B">
        <w:rPr>
          <w:rFonts w:ascii="Times New Roman" w:hAnsi="Times New Roman" w:cs="Times New Roman"/>
        </w:rPr>
        <w:t xml:space="preserve"> </w:t>
      </w:r>
      <w:r w:rsidR="001F5BED" w:rsidRPr="002B7E2B">
        <w:rPr>
          <w:rFonts w:ascii="Times New Roman" w:hAnsi="Times New Roman" w:cs="Times New Roman"/>
        </w:rPr>
        <w:t>purchased</w:t>
      </w:r>
      <w:r w:rsidR="008414B5" w:rsidRPr="002B7E2B">
        <w:rPr>
          <w:rFonts w:ascii="Times New Roman" w:hAnsi="Times New Roman" w:cs="Times New Roman"/>
        </w:rPr>
        <w:t xml:space="preserve"> on or after January 15, 2022</w:t>
      </w:r>
      <w:r w:rsidRPr="002B7E2B">
        <w:rPr>
          <w:rFonts w:ascii="Times New Roman" w:hAnsi="Times New Roman" w:cs="Times New Roman"/>
        </w:rPr>
        <w:t xml:space="preserve">.  </w:t>
      </w:r>
      <w:r w:rsidR="00E50293" w:rsidRPr="002B7E2B">
        <w:rPr>
          <w:rFonts w:ascii="Times New Roman" w:hAnsi="Times New Roman" w:cs="Times New Roman"/>
        </w:rPr>
        <w:t xml:space="preserve">Specifically, the tests that must be covered without such restrictions include </w:t>
      </w:r>
      <w:r w:rsidR="003F1AC8" w:rsidRPr="002B7E2B">
        <w:rPr>
          <w:rFonts w:ascii="Times New Roman" w:hAnsi="Times New Roman" w:cs="Times New Roman"/>
        </w:rPr>
        <w:t xml:space="preserve">(1) </w:t>
      </w:r>
      <w:r w:rsidR="00E50293" w:rsidRPr="002B7E2B">
        <w:rPr>
          <w:rFonts w:ascii="Times New Roman" w:hAnsi="Times New Roman" w:cs="Times New Roman"/>
        </w:rPr>
        <w:t>tests</w:t>
      </w:r>
      <w:r w:rsidR="003F1AC8" w:rsidRPr="002B7E2B">
        <w:rPr>
          <w:rFonts w:ascii="Times New Roman" w:hAnsi="Times New Roman" w:cs="Times New Roman"/>
        </w:rPr>
        <w:t xml:space="preserve"> that have been approved by the U.S. Food and Drug Administration (FDA), (2) tests</w:t>
      </w:r>
      <w:r w:rsidR="00E50293" w:rsidRPr="002B7E2B">
        <w:rPr>
          <w:rFonts w:ascii="Times New Roman" w:hAnsi="Times New Roman" w:cs="Times New Roman"/>
        </w:rPr>
        <w:t xml:space="preserve"> for which the developer has requested “emergency use authorization” under the Federal Food, Drugs, and Cosmetics Act</w:t>
      </w:r>
      <w:r w:rsidR="003F1AC8" w:rsidRPr="002B7E2B">
        <w:rPr>
          <w:rFonts w:ascii="Times New Roman" w:hAnsi="Times New Roman" w:cs="Times New Roman"/>
        </w:rPr>
        <w:t xml:space="preserve">, and (3) </w:t>
      </w:r>
      <w:r w:rsidR="00E50293" w:rsidRPr="002B7E2B">
        <w:rPr>
          <w:rFonts w:ascii="Times New Roman" w:hAnsi="Times New Roman" w:cs="Times New Roman"/>
        </w:rPr>
        <w:t>tests authorized and used by a state to diagnose patients.</w:t>
      </w:r>
      <w:r w:rsidR="00AB0A49" w:rsidRPr="00AB0A49">
        <w:rPr>
          <w:rFonts w:ascii="Times New Roman" w:hAnsi="Times New Roman" w:cs="Times New Roman"/>
        </w:rPr>
        <w:t xml:space="preserve"> </w:t>
      </w:r>
      <w:r w:rsidR="00AB0A49" w:rsidRPr="002B7E2B">
        <w:rPr>
          <w:rFonts w:ascii="Times New Roman" w:hAnsi="Times New Roman" w:cs="Times New Roman"/>
        </w:rPr>
        <w:t xml:space="preserve">This </w:t>
      </w:r>
      <w:r w:rsidR="00AB0A49">
        <w:rPr>
          <w:rFonts w:ascii="Times New Roman" w:hAnsi="Times New Roman" w:cs="Times New Roman"/>
        </w:rPr>
        <w:t xml:space="preserve">coverage </w:t>
      </w:r>
      <w:r w:rsidR="00AB0A49" w:rsidRPr="002B7E2B">
        <w:rPr>
          <w:rFonts w:ascii="Times New Roman" w:hAnsi="Times New Roman" w:cs="Times New Roman"/>
        </w:rPr>
        <w:t xml:space="preserve">requirement does not apply to at-home or </w:t>
      </w:r>
      <w:r w:rsidR="00AB0A49">
        <w:rPr>
          <w:rFonts w:ascii="Times New Roman" w:hAnsi="Times New Roman" w:cs="Times New Roman"/>
        </w:rPr>
        <w:t>OTC</w:t>
      </w:r>
      <w:r w:rsidR="00AB0A49" w:rsidRPr="002B7E2B">
        <w:rPr>
          <w:rFonts w:ascii="Times New Roman" w:hAnsi="Times New Roman" w:cs="Times New Roman"/>
        </w:rPr>
        <w:t xml:space="preserve"> COVID-19 diagnostic tests purchased to comply with employment</w:t>
      </w:r>
      <w:r w:rsidR="00AB0A49">
        <w:rPr>
          <w:rFonts w:ascii="Times New Roman" w:hAnsi="Times New Roman" w:cs="Times New Roman"/>
        </w:rPr>
        <w:t xml:space="preserve"> or </w:t>
      </w:r>
      <w:r w:rsidR="00AB0A49" w:rsidRPr="002B7E2B">
        <w:rPr>
          <w:rFonts w:ascii="Times New Roman" w:hAnsi="Times New Roman" w:cs="Times New Roman"/>
        </w:rPr>
        <w:t xml:space="preserve">workplace testing. </w:t>
      </w:r>
    </w:p>
    <w:p w14:paraId="3D4B7046" w14:textId="3DBDF632" w:rsidR="003F1AC8" w:rsidRPr="002B7E2B" w:rsidRDefault="00E1232C" w:rsidP="002B7E2B">
      <w:pPr>
        <w:pStyle w:val="ListParagraph"/>
        <w:numPr>
          <w:ilvl w:val="0"/>
          <w:numId w:val="15"/>
        </w:numPr>
        <w:spacing w:before="220" w:line="276" w:lineRule="auto"/>
        <w:ind w:left="360"/>
        <w:contextualSpacing w:val="0"/>
        <w:jc w:val="both"/>
        <w:rPr>
          <w:rFonts w:ascii="Times New Roman" w:eastAsia="Calibri" w:hAnsi="Times New Roman" w:cs="Times New Roman"/>
          <w:b/>
          <w:bCs/>
        </w:rPr>
      </w:pPr>
      <w:r w:rsidRPr="002B7E2B">
        <w:rPr>
          <w:rFonts w:ascii="Times New Roman" w:eastAsia="Calibri" w:hAnsi="Times New Roman" w:cs="Times New Roman"/>
          <w:b/>
          <w:bCs/>
        </w:rPr>
        <w:t>Costs and other Plan limitations</w:t>
      </w:r>
    </w:p>
    <w:p w14:paraId="0C680606" w14:textId="63EBC7B6" w:rsidR="003F1AC8" w:rsidRPr="002B7E2B" w:rsidRDefault="00E1232C" w:rsidP="002B7E2B">
      <w:pPr>
        <w:pStyle w:val="Default"/>
        <w:spacing w:before="45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B7E2B">
        <w:rPr>
          <w:rFonts w:ascii="Times New Roman" w:hAnsi="Times New Roman" w:cs="Times New Roman"/>
          <w:sz w:val="22"/>
          <w:szCs w:val="22"/>
        </w:rPr>
        <w:t xml:space="preserve">The FAQs provide </w:t>
      </w:r>
      <w:r w:rsidR="00646EA1" w:rsidRPr="002B7E2B">
        <w:rPr>
          <w:rFonts w:ascii="Times New Roman" w:hAnsi="Times New Roman" w:cs="Times New Roman"/>
          <w:sz w:val="22"/>
          <w:szCs w:val="22"/>
        </w:rPr>
        <w:t xml:space="preserve">that </w:t>
      </w:r>
      <w:r w:rsidR="00646EA1">
        <w:rPr>
          <w:rFonts w:ascii="Times New Roman" w:hAnsi="Times New Roman" w:cs="Times New Roman"/>
          <w:sz w:val="22"/>
          <w:szCs w:val="22"/>
        </w:rPr>
        <w:t>p</w:t>
      </w:r>
      <w:r w:rsidR="00646EA1" w:rsidRPr="002B7E2B">
        <w:rPr>
          <w:rFonts w:ascii="Times New Roman" w:hAnsi="Times New Roman" w:cs="Times New Roman"/>
          <w:sz w:val="22"/>
          <w:szCs w:val="22"/>
        </w:rPr>
        <w:t>lan</w:t>
      </w:r>
      <w:r w:rsidR="00646EA1">
        <w:rPr>
          <w:rFonts w:ascii="Times New Roman" w:hAnsi="Times New Roman" w:cs="Times New Roman"/>
          <w:sz w:val="22"/>
          <w:szCs w:val="22"/>
        </w:rPr>
        <w:t>s</w:t>
      </w:r>
      <w:r w:rsidRPr="002B7E2B">
        <w:rPr>
          <w:rFonts w:ascii="Times New Roman" w:hAnsi="Times New Roman" w:cs="Times New Roman"/>
          <w:sz w:val="22"/>
          <w:szCs w:val="22"/>
        </w:rPr>
        <w:t xml:space="preserve"> must cover up to a total of eight tests </w:t>
      </w:r>
      <w:r w:rsidR="00A352BC" w:rsidRPr="002B7E2B">
        <w:rPr>
          <w:rFonts w:ascii="Times New Roman" w:hAnsi="Times New Roman" w:cs="Times New Roman"/>
          <w:sz w:val="22"/>
          <w:szCs w:val="22"/>
        </w:rPr>
        <w:t xml:space="preserve">per </w:t>
      </w:r>
      <w:r w:rsidR="00550022">
        <w:rPr>
          <w:rFonts w:ascii="Times New Roman" w:hAnsi="Times New Roman" w:cs="Times New Roman"/>
          <w:sz w:val="22"/>
          <w:szCs w:val="22"/>
        </w:rPr>
        <w:t xml:space="preserve">30-day period </w:t>
      </w:r>
      <w:r w:rsidRPr="002B7E2B">
        <w:rPr>
          <w:rFonts w:ascii="Times New Roman" w:hAnsi="Times New Roman" w:cs="Times New Roman"/>
          <w:sz w:val="22"/>
          <w:szCs w:val="22"/>
        </w:rPr>
        <w:t>per covered participant</w:t>
      </w:r>
      <w:r w:rsidR="005B036A" w:rsidRPr="002B7E2B">
        <w:rPr>
          <w:rFonts w:ascii="Times New Roman" w:hAnsi="Times New Roman" w:cs="Times New Roman"/>
          <w:sz w:val="22"/>
          <w:szCs w:val="22"/>
        </w:rPr>
        <w:t xml:space="preserve"> without cost-sharing.  Plans may provide direct coverage for reimbursement through pharmacies and </w:t>
      </w:r>
      <w:r w:rsidR="00D92A5E" w:rsidRPr="002B7E2B">
        <w:rPr>
          <w:rFonts w:ascii="Times New Roman" w:hAnsi="Times New Roman" w:cs="Times New Roman"/>
          <w:sz w:val="22"/>
          <w:szCs w:val="22"/>
        </w:rPr>
        <w:t>retailers,</w:t>
      </w:r>
      <w:r w:rsidR="005B036A" w:rsidRPr="002B7E2B">
        <w:rPr>
          <w:rFonts w:ascii="Times New Roman" w:hAnsi="Times New Roman" w:cs="Times New Roman"/>
          <w:sz w:val="22"/>
          <w:szCs w:val="22"/>
        </w:rPr>
        <w:t xml:space="preserve"> or </w:t>
      </w:r>
      <w:r w:rsidR="00D92A5E">
        <w:rPr>
          <w:rFonts w:ascii="Times New Roman" w:hAnsi="Times New Roman" w:cs="Times New Roman"/>
          <w:sz w:val="22"/>
          <w:szCs w:val="22"/>
        </w:rPr>
        <w:t>plans</w:t>
      </w:r>
      <w:r w:rsidR="005B036A" w:rsidRPr="002B7E2B">
        <w:rPr>
          <w:rFonts w:ascii="Times New Roman" w:hAnsi="Times New Roman" w:cs="Times New Roman"/>
          <w:sz w:val="22"/>
          <w:szCs w:val="22"/>
        </w:rPr>
        <w:t xml:space="preserve"> may design a program that requires a participant to submit a claim for reimbursement. </w:t>
      </w:r>
      <w:r w:rsidR="002539A2" w:rsidRPr="002B7E2B">
        <w:rPr>
          <w:rFonts w:ascii="Times New Roman" w:hAnsi="Times New Roman" w:cs="Times New Roman"/>
          <w:sz w:val="22"/>
          <w:szCs w:val="22"/>
        </w:rPr>
        <w:t>Under the safe harbor provided in the FAQs, direct coverage occurs when “a participant, beneficiary, or enrollee is not required to seek reimbursement post-purchase; instead, the plan or issuer must make the systems and technology changes necessary to process the plan’s or issuer’s payment to the preferred pharmacy or retailer directly (including the direct-to consumer shipping program) with no upfront out-of-pocket expenditure by the participant, beneficiary, or enrollee</w:t>
      </w:r>
      <w:r w:rsidR="00D92A5E">
        <w:rPr>
          <w:rFonts w:ascii="Times New Roman" w:hAnsi="Times New Roman" w:cs="Times New Roman"/>
          <w:sz w:val="22"/>
          <w:szCs w:val="22"/>
        </w:rPr>
        <w:t>.</w:t>
      </w:r>
      <w:r w:rsidR="002539A2" w:rsidRPr="002B7E2B">
        <w:rPr>
          <w:rFonts w:ascii="Times New Roman" w:hAnsi="Times New Roman" w:cs="Times New Roman"/>
          <w:sz w:val="22"/>
          <w:szCs w:val="22"/>
        </w:rPr>
        <w:t>”</w:t>
      </w:r>
      <w:r w:rsidR="00A352BC" w:rsidRPr="002B7E2B">
        <w:rPr>
          <w:rFonts w:ascii="Times New Roman" w:hAnsi="Times New Roman" w:cs="Times New Roman"/>
          <w:sz w:val="22"/>
          <w:szCs w:val="22"/>
        </w:rPr>
        <w:t xml:space="preserve"> </w:t>
      </w:r>
      <w:r w:rsidR="00D92A5E">
        <w:rPr>
          <w:rFonts w:ascii="Times New Roman" w:hAnsi="Times New Roman" w:cs="Times New Roman"/>
          <w:sz w:val="22"/>
          <w:szCs w:val="22"/>
        </w:rPr>
        <w:t xml:space="preserve"> </w:t>
      </w:r>
      <w:r w:rsidR="00A352BC" w:rsidRPr="002B7E2B">
        <w:rPr>
          <w:rFonts w:ascii="Times New Roman" w:hAnsi="Times New Roman" w:cs="Times New Roman"/>
          <w:sz w:val="22"/>
          <w:szCs w:val="22"/>
        </w:rPr>
        <w:t xml:space="preserve">Additionally, </w:t>
      </w:r>
      <w:r w:rsidR="00AB0A49">
        <w:rPr>
          <w:rFonts w:ascii="Times New Roman" w:hAnsi="Times New Roman" w:cs="Times New Roman"/>
          <w:sz w:val="22"/>
          <w:szCs w:val="22"/>
        </w:rPr>
        <w:t xml:space="preserve">to qualify as “direct coverage”, </w:t>
      </w:r>
      <w:r w:rsidR="00D92A5E">
        <w:rPr>
          <w:rFonts w:ascii="Times New Roman" w:hAnsi="Times New Roman" w:cs="Times New Roman"/>
          <w:sz w:val="22"/>
          <w:szCs w:val="22"/>
        </w:rPr>
        <w:t>p</w:t>
      </w:r>
      <w:r w:rsidR="00D92A5E" w:rsidRPr="002B7E2B">
        <w:rPr>
          <w:rFonts w:ascii="Times New Roman" w:hAnsi="Times New Roman" w:cs="Times New Roman"/>
          <w:sz w:val="22"/>
          <w:szCs w:val="22"/>
        </w:rPr>
        <w:t xml:space="preserve">lans </w:t>
      </w:r>
      <w:r w:rsidR="00A352BC" w:rsidRPr="002B7E2B">
        <w:rPr>
          <w:rFonts w:ascii="Times New Roman" w:hAnsi="Times New Roman" w:cs="Times New Roman"/>
          <w:sz w:val="22"/>
          <w:szCs w:val="22"/>
        </w:rPr>
        <w:t xml:space="preserve">may not apply pre-authorization or other medical management requirements prior to purchasing the at-home or </w:t>
      </w:r>
      <w:r w:rsidR="00D92A5E">
        <w:rPr>
          <w:rFonts w:ascii="Times New Roman" w:hAnsi="Times New Roman" w:cs="Times New Roman"/>
          <w:sz w:val="22"/>
          <w:szCs w:val="22"/>
        </w:rPr>
        <w:t>OTC</w:t>
      </w:r>
      <w:r w:rsidR="00A352BC" w:rsidRPr="002B7E2B">
        <w:rPr>
          <w:rFonts w:ascii="Times New Roman" w:hAnsi="Times New Roman" w:cs="Times New Roman"/>
          <w:sz w:val="22"/>
          <w:szCs w:val="22"/>
        </w:rPr>
        <w:t xml:space="preserve"> COVID-19 diagnostic test</w:t>
      </w:r>
      <w:r w:rsidR="00D92A5E">
        <w:rPr>
          <w:rFonts w:ascii="Times New Roman" w:hAnsi="Times New Roman" w:cs="Times New Roman"/>
          <w:sz w:val="22"/>
          <w:szCs w:val="22"/>
        </w:rPr>
        <w:t>.</w:t>
      </w:r>
      <w:r w:rsidR="00A352BC" w:rsidRPr="002B7E2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720C72" w14:textId="48AFE906" w:rsidR="00550022" w:rsidRDefault="003077BD" w:rsidP="002B7E2B">
      <w:pPr>
        <w:spacing w:before="220" w:line="276" w:lineRule="auto"/>
        <w:ind w:left="360"/>
        <w:jc w:val="both"/>
        <w:rPr>
          <w:rFonts w:ascii="Times New Roman" w:hAnsi="Times New Roman" w:cs="Times New Roman"/>
        </w:rPr>
      </w:pPr>
      <w:r w:rsidRPr="002B7E2B">
        <w:rPr>
          <w:rFonts w:ascii="Times New Roman" w:hAnsi="Times New Roman" w:cs="Times New Roman"/>
        </w:rPr>
        <w:lastRenderedPageBreak/>
        <w:t xml:space="preserve">The Departments encourage </w:t>
      </w:r>
      <w:r w:rsidR="00273F7A">
        <w:rPr>
          <w:rFonts w:ascii="Times New Roman" w:hAnsi="Times New Roman" w:cs="Times New Roman"/>
        </w:rPr>
        <w:t>p</w:t>
      </w:r>
      <w:r w:rsidRPr="002B7E2B">
        <w:rPr>
          <w:rFonts w:ascii="Times New Roman" w:hAnsi="Times New Roman" w:cs="Times New Roman"/>
        </w:rPr>
        <w:t xml:space="preserve">lan </w:t>
      </w:r>
      <w:r w:rsidR="00273F7A">
        <w:rPr>
          <w:rFonts w:ascii="Times New Roman" w:hAnsi="Times New Roman" w:cs="Times New Roman"/>
        </w:rPr>
        <w:t>a</w:t>
      </w:r>
      <w:r w:rsidRPr="002B7E2B">
        <w:rPr>
          <w:rFonts w:ascii="Times New Roman" w:hAnsi="Times New Roman" w:cs="Times New Roman"/>
        </w:rPr>
        <w:t>dministrators and issuers to establish a network of preferred providers (i.e., retail stores, online retailers, and pharmacies) to provide</w:t>
      </w:r>
      <w:r w:rsidR="000E00A5" w:rsidRPr="002B7E2B">
        <w:rPr>
          <w:rFonts w:ascii="Times New Roman" w:hAnsi="Times New Roman" w:cs="Times New Roman"/>
        </w:rPr>
        <w:t xml:space="preserve"> direct coverage </w:t>
      </w:r>
      <w:r w:rsidRPr="002B7E2B">
        <w:rPr>
          <w:rFonts w:ascii="Times New Roman" w:hAnsi="Times New Roman" w:cs="Times New Roman"/>
        </w:rPr>
        <w:t xml:space="preserve">to participants covered under the </w:t>
      </w:r>
      <w:r w:rsidR="00273F7A">
        <w:rPr>
          <w:rFonts w:ascii="Times New Roman" w:hAnsi="Times New Roman" w:cs="Times New Roman"/>
        </w:rPr>
        <w:t>p</w:t>
      </w:r>
      <w:r w:rsidRPr="002B7E2B">
        <w:rPr>
          <w:rFonts w:ascii="Times New Roman" w:hAnsi="Times New Roman" w:cs="Times New Roman"/>
        </w:rPr>
        <w:t>lan</w:t>
      </w:r>
      <w:r w:rsidR="000E00A5" w:rsidRPr="002B7E2B">
        <w:rPr>
          <w:rFonts w:ascii="Times New Roman" w:hAnsi="Times New Roman" w:cs="Times New Roman"/>
        </w:rPr>
        <w:t xml:space="preserve">.  </w:t>
      </w:r>
      <w:r w:rsidR="00541E6A" w:rsidRPr="002B7E2B">
        <w:rPr>
          <w:rFonts w:ascii="Times New Roman" w:hAnsi="Times New Roman" w:cs="Times New Roman"/>
        </w:rPr>
        <w:t>Under a safe harbor created by the Departments,</w:t>
      </w:r>
      <w:r w:rsidR="000E00A5" w:rsidRPr="002B7E2B">
        <w:rPr>
          <w:rFonts w:ascii="Times New Roman" w:hAnsi="Times New Roman" w:cs="Times New Roman"/>
        </w:rPr>
        <w:t xml:space="preserve"> </w:t>
      </w:r>
      <w:r w:rsidR="00273F7A">
        <w:rPr>
          <w:rFonts w:ascii="Times New Roman" w:hAnsi="Times New Roman" w:cs="Times New Roman"/>
        </w:rPr>
        <w:t>p</w:t>
      </w:r>
      <w:r w:rsidR="000E00A5" w:rsidRPr="002B7E2B">
        <w:rPr>
          <w:rFonts w:ascii="Times New Roman" w:hAnsi="Times New Roman" w:cs="Times New Roman"/>
        </w:rPr>
        <w:t xml:space="preserve">lans that provide direct coverage of at-home and </w:t>
      </w:r>
      <w:r w:rsidR="00273F7A">
        <w:rPr>
          <w:rFonts w:ascii="Times New Roman" w:hAnsi="Times New Roman" w:cs="Times New Roman"/>
        </w:rPr>
        <w:t>OTC</w:t>
      </w:r>
      <w:r w:rsidR="000E00A5" w:rsidRPr="002B7E2B">
        <w:rPr>
          <w:rFonts w:ascii="Times New Roman" w:hAnsi="Times New Roman" w:cs="Times New Roman"/>
        </w:rPr>
        <w:t xml:space="preserve"> COVID-19 diagnostic tests may not limit coverage to </w:t>
      </w:r>
      <w:r w:rsidR="00A352BC" w:rsidRPr="002B7E2B">
        <w:rPr>
          <w:rFonts w:ascii="Times New Roman" w:hAnsi="Times New Roman" w:cs="Times New Roman"/>
        </w:rPr>
        <w:t>the preferred providers</w:t>
      </w:r>
      <w:r w:rsidR="000E00A5" w:rsidRPr="002B7E2B">
        <w:rPr>
          <w:rFonts w:ascii="Times New Roman" w:hAnsi="Times New Roman" w:cs="Times New Roman"/>
        </w:rPr>
        <w:t xml:space="preserve">, </w:t>
      </w:r>
      <w:r w:rsidR="00541E6A" w:rsidRPr="002B7E2B">
        <w:rPr>
          <w:rFonts w:ascii="Times New Roman" w:hAnsi="Times New Roman" w:cs="Times New Roman"/>
        </w:rPr>
        <w:t xml:space="preserve">but they are permitted to </w:t>
      </w:r>
      <w:r w:rsidR="000E00A5" w:rsidRPr="002B7E2B">
        <w:rPr>
          <w:rFonts w:ascii="Times New Roman" w:hAnsi="Times New Roman" w:cs="Times New Roman"/>
        </w:rPr>
        <w:t xml:space="preserve">limit reimbursement </w:t>
      </w:r>
      <w:r w:rsidR="00646EA1">
        <w:rPr>
          <w:rFonts w:ascii="Times New Roman" w:hAnsi="Times New Roman" w:cs="Times New Roman"/>
        </w:rPr>
        <w:t xml:space="preserve">for non-preferred providers </w:t>
      </w:r>
      <w:r w:rsidR="002539A2" w:rsidRPr="002B7E2B">
        <w:rPr>
          <w:rFonts w:ascii="Times New Roman" w:hAnsi="Times New Roman" w:cs="Times New Roman"/>
        </w:rPr>
        <w:t>to $12 per test</w:t>
      </w:r>
      <w:r w:rsidR="004D5701" w:rsidRPr="002B7E2B">
        <w:rPr>
          <w:rFonts w:ascii="Times New Roman" w:hAnsi="Times New Roman" w:cs="Times New Roman"/>
        </w:rPr>
        <w:t xml:space="preserve"> or the actual cost of the test (whichever is lower)</w:t>
      </w:r>
      <w:r w:rsidR="002539A2" w:rsidRPr="002B7E2B">
        <w:rPr>
          <w:rFonts w:ascii="Times New Roman" w:hAnsi="Times New Roman" w:cs="Times New Roman"/>
        </w:rPr>
        <w:t>.</w:t>
      </w:r>
      <w:r w:rsidR="008E36EA" w:rsidRPr="002B7E2B">
        <w:rPr>
          <w:rFonts w:ascii="Times New Roman" w:hAnsi="Times New Roman" w:cs="Times New Roman"/>
        </w:rPr>
        <w:t xml:space="preserve">  </w:t>
      </w:r>
      <w:r w:rsidR="00550022">
        <w:rPr>
          <w:rFonts w:ascii="Times New Roman" w:hAnsi="Times New Roman" w:cs="Times New Roman"/>
        </w:rPr>
        <w:t xml:space="preserve">However, Plans may provide more generous coverage. </w:t>
      </w:r>
      <w:r w:rsidR="001D15A4">
        <w:rPr>
          <w:rFonts w:ascii="Times New Roman" w:hAnsi="Times New Roman" w:cs="Times New Roman"/>
        </w:rPr>
        <w:t>If a plan is unable to ensure adequate access to OTC COVID-19 diagnostic tests, or if there are significant delays for plan participants to receive tests via a direct-to consumer program</w:t>
      </w:r>
      <w:r w:rsidR="00613881">
        <w:rPr>
          <w:rFonts w:ascii="Times New Roman" w:hAnsi="Times New Roman" w:cs="Times New Roman"/>
        </w:rPr>
        <w:t>, the plan will not be able to rely on the safe harbor for the duration of the delay or interrupted access and will not be permitted to deny coverage</w:t>
      </w:r>
      <w:r w:rsidR="00AF24D9">
        <w:rPr>
          <w:rFonts w:ascii="Times New Roman" w:hAnsi="Times New Roman" w:cs="Times New Roman"/>
        </w:rPr>
        <w:t xml:space="preserve">, impost cost-sharing requirements, </w:t>
      </w:r>
      <w:r w:rsidR="00613881">
        <w:rPr>
          <w:rFonts w:ascii="Times New Roman" w:hAnsi="Times New Roman" w:cs="Times New Roman"/>
        </w:rPr>
        <w:t xml:space="preserve"> or impose </w:t>
      </w:r>
      <w:r w:rsidR="00A609BD">
        <w:rPr>
          <w:rFonts w:ascii="Times New Roman" w:hAnsi="Times New Roman" w:cs="Times New Roman"/>
        </w:rPr>
        <w:t>limits on the</w:t>
      </w:r>
      <w:r w:rsidR="00613881">
        <w:rPr>
          <w:rFonts w:ascii="Times New Roman" w:hAnsi="Times New Roman" w:cs="Times New Roman"/>
        </w:rPr>
        <w:t xml:space="preserve"> reimbursement</w:t>
      </w:r>
      <w:r w:rsidR="00A609BD">
        <w:rPr>
          <w:rFonts w:ascii="Times New Roman" w:hAnsi="Times New Roman" w:cs="Times New Roman"/>
        </w:rPr>
        <w:t xml:space="preserve"> amount for </w:t>
      </w:r>
      <w:r w:rsidR="00613881">
        <w:rPr>
          <w:rFonts w:ascii="Times New Roman" w:hAnsi="Times New Roman" w:cs="Times New Roman"/>
        </w:rPr>
        <w:t xml:space="preserve">tests purchased by non-preferred providers. </w:t>
      </w:r>
    </w:p>
    <w:p w14:paraId="5CC0FAD4" w14:textId="6860C12B" w:rsidR="00550022" w:rsidRDefault="00550022" w:rsidP="002B7E2B">
      <w:pPr>
        <w:spacing w:before="22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Plans may take reasonable steps to prevent suspected fraud, waste, and abuse</w:t>
      </w:r>
      <w:r w:rsidR="001D15A4">
        <w:rPr>
          <w:rFonts w:ascii="Times New Roman" w:hAnsi="Times New Roman" w:cs="Times New Roman"/>
        </w:rPr>
        <w:t xml:space="preserve">.  Plans are permitted to confirm that </w:t>
      </w:r>
      <w:r>
        <w:rPr>
          <w:rFonts w:ascii="Times New Roman" w:hAnsi="Times New Roman" w:cs="Times New Roman"/>
        </w:rPr>
        <w:t xml:space="preserve">the tests were purchased for a covered person and </w:t>
      </w:r>
      <w:r w:rsidR="001D15A4">
        <w:rPr>
          <w:rFonts w:ascii="Times New Roman" w:hAnsi="Times New Roman" w:cs="Times New Roman"/>
        </w:rPr>
        <w:t xml:space="preserve">may require reasonable documentation of proof of purchase for the test.  </w:t>
      </w:r>
    </w:p>
    <w:p w14:paraId="18C4C760" w14:textId="09B800E5" w:rsidR="00AB0A49" w:rsidRPr="002B7E2B" w:rsidRDefault="00273F7A" w:rsidP="00AB0A49">
      <w:pPr>
        <w:spacing w:before="2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Please note that t</w:t>
      </w:r>
      <w:r w:rsidR="00846111" w:rsidRPr="002B7E2B">
        <w:rPr>
          <w:rFonts w:ascii="Times New Roman" w:eastAsia="Calibri" w:hAnsi="Times New Roman" w:cs="Times New Roman"/>
        </w:rPr>
        <w:t>his not an exhaustive list of the FAQs.</w:t>
      </w:r>
      <w:r w:rsidR="00541E6A" w:rsidRPr="002B7E2B">
        <w:rPr>
          <w:rFonts w:ascii="Times New Roman" w:eastAsia="Calibri" w:hAnsi="Times New Roman" w:cs="Times New Roman"/>
        </w:rPr>
        <w:t xml:space="preserve"> The FAQs also </w:t>
      </w:r>
      <w:r w:rsidR="00F170E1" w:rsidRPr="002B7E2B">
        <w:rPr>
          <w:rFonts w:ascii="Times New Roman" w:eastAsia="Calibri" w:hAnsi="Times New Roman" w:cs="Times New Roman"/>
        </w:rPr>
        <w:t xml:space="preserve">provide </w:t>
      </w:r>
      <w:r w:rsidR="002D2105" w:rsidRPr="002B7E2B">
        <w:rPr>
          <w:rFonts w:ascii="Times New Roman" w:eastAsia="Calibri" w:hAnsi="Times New Roman" w:cs="Times New Roman"/>
        </w:rPr>
        <w:t xml:space="preserve">clarification on </w:t>
      </w:r>
      <w:r w:rsidR="00F170E1" w:rsidRPr="002B7E2B">
        <w:rPr>
          <w:rFonts w:ascii="Times New Roman" w:eastAsia="Calibri" w:hAnsi="Times New Roman" w:cs="Times New Roman"/>
        </w:rPr>
        <w:t xml:space="preserve">preventive coverage requirements for non-grandfathered </w:t>
      </w:r>
      <w:r>
        <w:rPr>
          <w:rFonts w:ascii="Times New Roman" w:eastAsia="Calibri" w:hAnsi="Times New Roman" w:cs="Times New Roman"/>
        </w:rPr>
        <w:t>p</w:t>
      </w:r>
      <w:r w:rsidRPr="002B7E2B">
        <w:rPr>
          <w:rFonts w:ascii="Times New Roman" w:eastAsia="Calibri" w:hAnsi="Times New Roman" w:cs="Times New Roman"/>
        </w:rPr>
        <w:t xml:space="preserve">lans </w:t>
      </w:r>
      <w:r w:rsidR="00F170E1" w:rsidRPr="002B7E2B">
        <w:rPr>
          <w:rFonts w:ascii="Times New Roman" w:eastAsia="Calibri" w:hAnsi="Times New Roman" w:cs="Times New Roman"/>
        </w:rPr>
        <w:t xml:space="preserve">related to follow-up colonoscopies and </w:t>
      </w:r>
      <w:r w:rsidR="002D2105" w:rsidRPr="002B7E2B">
        <w:rPr>
          <w:rFonts w:ascii="Times New Roman" w:eastAsia="Calibri" w:hAnsi="Times New Roman" w:cs="Times New Roman"/>
        </w:rPr>
        <w:t>contraceptive</w:t>
      </w:r>
      <w:r>
        <w:rPr>
          <w:rFonts w:ascii="Times New Roman" w:eastAsia="Calibri" w:hAnsi="Times New Roman" w:cs="Times New Roman"/>
        </w:rPr>
        <w:t>s</w:t>
      </w:r>
      <w:r w:rsidR="002D2105" w:rsidRPr="002B7E2B">
        <w:rPr>
          <w:rFonts w:ascii="Times New Roman" w:eastAsia="Calibri" w:hAnsi="Times New Roman" w:cs="Times New Roman"/>
        </w:rPr>
        <w:t xml:space="preserve">. </w:t>
      </w:r>
      <w:r w:rsidR="00846111" w:rsidRPr="002B7E2B">
        <w:rPr>
          <w:rFonts w:ascii="Times New Roman" w:eastAsia="Calibri" w:hAnsi="Times New Roman" w:cs="Times New Roman"/>
        </w:rPr>
        <w:t xml:space="preserve">Plan sponsors should review the DOL FAQs in their entirety to review their obligations and key requirements under the law. </w:t>
      </w:r>
    </w:p>
    <w:p w14:paraId="2F554243" w14:textId="052812A8" w:rsidR="0062290A" w:rsidRPr="002B7E2B" w:rsidRDefault="0062290A" w:rsidP="002B7E2B">
      <w:pPr>
        <w:spacing w:before="22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B7E2B">
        <w:rPr>
          <w:rFonts w:ascii="Times New Roman" w:eastAsia="Calibri" w:hAnsi="Times New Roman" w:cs="Times New Roman"/>
          <w:b/>
          <w:bCs/>
        </w:rPr>
        <w:t xml:space="preserve">NEXT STEPS </w:t>
      </w:r>
    </w:p>
    <w:p w14:paraId="01B6D187" w14:textId="6F69E2BE" w:rsidR="00D15F85" w:rsidRPr="002B7E2B" w:rsidRDefault="00A609BD" w:rsidP="002B7E2B">
      <w:pPr>
        <w:spacing w:before="45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Plans are encouraged to educate their members and provide other forms of support to ensure they understand how to access and use OTC COVID-19</w:t>
      </w:r>
      <w:r w:rsidR="002D0E85">
        <w:rPr>
          <w:rFonts w:ascii="Times New Roman" w:eastAsia="Calibri" w:hAnsi="Times New Roman" w:cs="Times New Roman"/>
        </w:rPr>
        <w:t xml:space="preserve"> diagnostic </w:t>
      </w:r>
      <w:r>
        <w:rPr>
          <w:rFonts w:ascii="Times New Roman" w:eastAsia="Calibri" w:hAnsi="Times New Roman" w:cs="Times New Roman"/>
        </w:rPr>
        <w:t>tests. P</w:t>
      </w:r>
      <w:r w:rsidR="00273F7A" w:rsidRPr="002B7E2B">
        <w:rPr>
          <w:rFonts w:ascii="Times New Roman" w:eastAsia="Calibri" w:hAnsi="Times New Roman" w:cs="Times New Roman"/>
        </w:rPr>
        <w:t xml:space="preserve">lan </w:t>
      </w:r>
      <w:r w:rsidR="00273F7A">
        <w:rPr>
          <w:rFonts w:ascii="Times New Roman" w:eastAsia="Calibri" w:hAnsi="Times New Roman" w:cs="Times New Roman"/>
        </w:rPr>
        <w:t>s</w:t>
      </w:r>
      <w:r w:rsidR="009B5FB1" w:rsidRPr="002B7E2B">
        <w:rPr>
          <w:rFonts w:ascii="Times New Roman" w:eastAsia="Calibri" w:hAnsi="Times New Roman" w:cs="Times New Roman"/>
        </w:rPr>
        <w:t>ponsors</w:t>
      </w:r>
      <w:r w:rsidR="000A6687" w:rsidRPr="002B7E2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should contact their claims administrators, vendor partners, or PBM (as applicable) to obtain assistance in d</w:t>
      </w:r>
      <w:r w:rsidR="002D0E85">
        <w:rPr>
          <w:rFonts w:ascii="Times New Roman" w:eastAsia="Calibri" w:hAnsi="Times New Roman" w:cs="Times New Roman"/>
        </w:rPr>
        <w:t xml:space="preserve">eveloping a direct coverage program to ensure the plan is eligible for the safe harbor. Additionally, plans </w:t>
      </w:r>
      <w:r w:rsidR="000A6687" w:rsidRPr="002B7E2B">
        <w:rPr>
          <w:rFonts w:ascii="Times New Roman" w:eastAsia="Calibri" w:hAnsi="Times New Roman" w:cs="Times New Roman"/>
        </w:rPr>
        <w:t xml:space="preserve">should prepare to </w:t>
      </w:r>
      <w:r w:rsidR="002D2105" w:rsidRPr="002B7E2B">
        <w:rPr>
          <w:rFonts w:ascii="Times New Roman" w:eastAsia="Calibri" w:hAnsi="Times New Roman" w:cs="Times New Roman"/>
        </w:rPr>
        <w:t xml:space="preserve">amend their </w:t>
      </w:r>
      <w:r w:rsidR="00273F7A">
        <w:rPr>
          <w:rFonts w:ascii="Times New Roman" w:eastAsia="Calibri" w:hAnsi="Times New Roman" w:cs="Times New Roman"/>
        </w:rPr>
        <w:t>p</w:t>
      </w:r>
      <w:r w:rsidR="00273F7A" w:rsidRPr="002B7E2B">
        <w:rPr>
          <w:rFonts w:ascii="Times New Roman" w:eastAsia="Calibri" w:hAnsi="Times New Roman" w:cs="Times New Roman"/>
        </w:rPr>
        <w:t xml:space="preserve">lan </w:t>
      </w:r>
      <w:r w:rsidR="002D2105" w:rsidRPr="002B7E2B">
        <w:rPr>
          <w:rFonts w:ascii="Times New Roman" w:eastAsia="Calibri" w:hAnsi="Times New Roman" w:cs="Times New Roman"/>
        </w:rPr>
        <w:t xml:space="preserve">documents to include coverage for at-home and </w:t>
      </w:r>
      <w:r w:rsidR="00273F7A">
        <w:rPr>
          <w:rFonts w:ascii="Times New Roman" w:eastAsia="Calibri" w:hAnsi="Times New Roman" w:cs="Times New Roman"/>
        </w:rPr>
        <w:t>OTC</w:t>
      </w:r>
      <w:r w:rsidR="002D2105" w:rsidRPr="002B7E2B">
        <w:rPr>
          <w:rFonts w:ascii="Times New Roman" w:eastAsia="Calibri" w:hAnsi="Times New Roman" w:cs="Times New Roman"/>
        </w:rPr>
        <w:t xml:space="preserve"> COVID-19 diagnostic tests</w:t>
      </w:r>
      <w:r w:rsidR="002D0E85">
        <w:rPr>
          <w:rFonts w:ascii="Times New Roman" w:eastAsia="Calibri" w:hAnsi="Times New Roman" w:cs="Times New Roman"/>
        </w:rPr>
        <w:t>, explain how a member can obtain OTC COVID-19 diagnostic tests using the direct coverage method, and outline the process that a member w</w:t>
      </w:r>
      <w:r w:rsidR="000C6825">
        <w:rPr>
          <w:rFonts w:ascii="Times New Roman" w:eastAsia="Calibri" w:hAnsi="Times New Roman" w:cs="Times New Roman"/>
        </w:rPr>
        <w:t>ill</w:t>
      </w:r>
      <w:r w:rsidR="002D0E85">
        <w:rPr>
          <w:rFonts w:ascii="Times New Roman" w:eastAsia="Calibri" w:hAnsi="Times New Roman" w:cs="Times New Roman"/>
        </w:rPr>
        <w:t xml:space="preserve"> use to submit a claim for reimbursement</w:t>
      </w:r>
      <w:r w:rsidR="008A0227" w:rsidRPr="002B7E2B">
        <w:rPr>
          <w:rFonts w:ascii="Times New Roman" w:eastAsia="Calibri" w:hAnsi="Times New Roman" w:cs="Times New Roman"/>
        </w:rPr>
        <w:t>.</w:t>
      </w:r>
      <w:r w:rsidR="002D2105" w:rsidRPr="002B7E2B">
        <w:rPr>
          <w:rFonts w:ascii="Times New Roman" w:eastAsia="Calibri" w:hAnsi="Times New Roman" w:cs="Times New Roman"/>
        </w:rPr>
        <w:t xml:space="preserve">   </w:t>
      </w:r>
      <w:r w:rsidR="008A0227" w:rsidRPr="002B7E2B">
        <w:rPr>
          <w:rFonts w:ascii="Times New Roman" w:eastAsia="Calibri" w:hAnsi="Times New Roman" w:cs="Times New Roman"/>
        </w:rPr>
        <w:t xml:space="preserve">  </w:t>
      </w:r>
    </w:p>
    <w:p w14:paraId="31F3C391" w14:textId="05895331" w:rsidR="00BE0D45" w:rsidRPr="002B7E2B" w:rsidRDefault="00555E0D" w:rsidP="002B7E2B">
      <w:pPr>
        <w:spacing w:before="220" w:line="276" w:lineRule="auto"/>
        <w:jc w:val="both"/>
        <w:rPr>
          <w:rFonts w:ascii="Times New Roman" w:eastAsia="Calibri" w:hAnsi="Times New Roman" w:cs="Times New Roman"/>
        </w:rPr>
      </w:pPr>
      <w:r w:rsidRPr="002B7E2B">
        <w:rPr>
          <w:rFonts w:ascii="Times New Roman" w:eastAsia="Calibri" w:hAnsi="Times New Roman" w:cs="Times New Roman"/>
        </w:rPr>
        <w:t xml:space="preserve">Foster &amp; Foster will continue to monitor the efforts to implement the Act and </w:t>
      </w:r>
      <w:bookmarkEnd w:id="0"/>
      <w:r w:rsidRPr="002B7E2B">
        <w:rPr>
          <w:rFonts w:ascii="Times New Roman" w:eastAsia="Calibri" w:hAnsi="Times New Roman" w:cs="Times New Roman"/>
        </w:rPr>
        <w:t xml:space="preserve">will follow up once additional guidance is released. </w:t>
      </w:r>
    </w:p>
    <w:p w14:paraId="033EFD48" w14:textId="77777777" w:rsidR="00555E0D" w:rsidRPr="002B7E2B" w:rsidRDefault="00555E0D" w:rsidP="002B7E2B">
      <w:pPr>
        <w:spacing w:before="22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B7E2B">
        <w:rPr>
          <w:rFonts w:ascii="Times New Roman" w:eastAsia="Calibri" w:hAnsi="Times New Roman" w:cs="Times New Roman"/>
          <w:b/>
          <w:bCs/>
        </w:rPr>
        <w:t xml:space="preserve">RESOURCES </w:t>
      </w:r>
    </w:p>
    <w:p w14:paraId="30B84579" w14:textId="77777777" w:rsidR="002B7E2B" w:rsidRDefault="00846111" w:rsidP="002B7E2B">
      <w:pPr>
        <w:spacing w:before="45" w:line="276" w:lineRule="auto"/>
        <w:jc w:val="both"/>
        <w:rPr>
          <w:rFonts w:ascii="Times New Roman" w:eastAsia="Calibri" w:hAnsi="Times New Roman" w:cs="Times New Roman"/>
        </w:rPr>
      </w:pPr>
      <w:r w:rsidRPr="002B7E2B">
        <w:rPr>
          <w:rFonts w:ascii="Times New Roman" w:eastAsia="Calibri" w:hAnsi="Times New Roman" w:cs="Times New Roman"/>
        </w:rPr>
        <w:t>To review the DOL FAQs</w:t>
      </w:r>
      <w:r w:rsidR="00E6016C" w:rsidRPr="002B7E2B">
        <w:rPr>
          <w:rFonts w:ascii="Times New Roman" w:eastAsia="Calibri" w:hAnsi="Times New Roman" w:cs="Times New Roman"/>
        </w:rPr>
        <w:t xml:space="preserve"> and obtain a word version of the attached model notices</w:t>
      </w:r>
      <w:r w:rsidRPr="002B7E2B">
        <w:rPr>
          <w:rFonts w:ascii="Times New Roman" w:eastAsia="Calibri" w:hAnsi="Times New Roman" w:cs="Times New Roman"/>
        </w:rPr>
        <w:t>, visit</w:t>
      </w:r>
      <w:r w:rsidR="001A3D42" w:rsidRPr="002B7E2B">
        <w:rPr>
          <w:rFonts w:ascii="Times New Roman" w:eastAsia="Calibri" w:hAnsi="Times New Roman" w:cs="Times New Roman"/>
        </w:rPr>
        <w:t>:</w:t>
      </w:r>
      <w:r w:rsidRPr="002B7E2B">
        <w:rPr>
          <w:rFonts w:ascii="Times New Roman" w:eastAsia="Calibri" w:hAnsi="Times New Roman" w:cs="Times New Roman"/>
        </w:rPr>
        <w:t xml:space="preserve"> </w:t>
      </w:r>
    </w:p>
    <w:p w14:paraId="6B463185" w14:textId="514658F2" w:rsidR="002D2105" w:rsidRDefault="000C6825" w:rsidP="00755D94">
      <w:pPr>
        <w:spacing w:before="220" w:line="276" w:lineRule="auto"/>
        <w:ind w:left="360" w:right="360"/>
        <w:jc w:val="both"/>
        <w:rPr>
          <w:rFonts w:ascii="Times New Roman" w:eastAsia="Calibri" w:hAnsi="Times New Roman" w:cs="Times New Roman"/>
        </w:rPr>
      </w:pPr>
      <w:hyperlink r:id="rId9" w:history="1">
        <w:r w:rsidR="002D2105" w:rsidRPr="002B7E2B">
          <w:rPr>
            <w:rStyle w:val="Hyperlink"/>
            <w:rFonts w:ascii="Times New Roman" w:eastAsia="Calibri" w:hAnsi="Times New Roman" w:cs="Times New Roman"/>
          </w:rPr>
          <w:t>https://www.dol.gov/sites/dolgov/files/EBSA/about-ebsa/our-activities/resource-center/faqs/aca-part-51.pdf</w:t>
        </w:r>
      </w:hyperlink>
    </w:p>
    <w:sectPr w:rsidR="002D2105" w:rsidSect="00F01AB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AFDF" w14:textId="77777777" w:rsidR="003F65F1" w:rsidRDefault="003F65F1" w:rsidP="002A5872">
      <w:r>
        <w:separator/>
      </w:r>
    </w:p>
  </w:endnote>
  <w:endnote w:type="continuationSeparator" w:id="0">
    <w:p w14:paraId="4B64B5ED" w14:textId="77777777" w:rsidR="003F65F1" w:rsidRDefault="003F65F1" w:rsidP="002A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9A56" w14:textId="03AA8FC2" w:rsidR="00E72926" w:rsidRDefault="00F01AB2" w:rsidP="00F01AB2">
    <w:pPr>
      <w:ind w:right="-900"/>
      <w:jc w:val="right"/>
    </w:pPr>
    <w:r>
      <w:rPr>
        <w:rFonts w:ascii="Avenir LT Std 55 Roman" w:hAnsi="Avenir LT Std 55 Roman"/>
        <w:b/>
        <w:bCs/>
        <w:noProof/>
        <w:color w:val="1F497D"/>
      </w:rPr>
      <w:drawing>
        <wp:inline distT="0" distB="0" distL="0" distR="0" wp14:anchorId="355CE36D" wp14:editId="42A25725">
          <wp:extent cx="1719400" cy="313536"/>
          <wp:effectExtent l="0" t="0" r="0" b="0"/>
          <wp:docPr id="2" name="Picture 2" descr="New F&amp;F Cir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F&amp;F Circle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048" cy="328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23C3" w14:textId="77777777" w:rsidR="00E72926" w:rsidRDefault="0084611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B041" w14:textId="77777777" w:rsidR="003F65F1" w:rsidRDefault="003F65F1" w:rsidP="002A5872">
      <w:r>
        <w:separator/>
      </w:r>
    </w:p>
  </w:footnote>
  <w:footnote w:type="continuationSeparator" w:id="0">
    <w:p w14:paraId="71109E1B" w14:textId="77777777" w:rsidR="003F65F1" w:rsidRDefault="003F65F1" w:rsidP="002A5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C1DD" w14:textId="6624F143" w:rsidR="00E42E93" w:rsidRDefault="00E42E93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Memorandum Regarding </w:t>
    </w:r>
    <w:r w:rsidR="00FE2510">
      <w:rPr>
        <w:rFonts w:ascii="Times New Roman" w:hAnsi="Times New Roman" w:cs="Times New Roman"/>
        <w:sz w:val="18"/>
        <w:szCs w:val="18"/>
      </w:rPr>
      <w:t>DOL Guidance and Model Notices for COBRA Premium Subsidies</w:t>
    </w:r>
  </w:p>
  <w:p w14:paraId="0387C127" w14:textId="10F0EF9D" w:rsidR="00E42E93" w:rsidRPr="00E42E93" w:rsidRDefault="00E6016C" w:rsidP="00F01AB2">
    <w:pPr>
      <w:pStyle w:val="Header"/>
      <w:tabs>
        <w:tab w:val="clear" w:pos="4680"/>
      </w:tabs>
      <w:spacing w:after="54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April 8</w:t>
    </w:r>
    <w:r w:rsidR="00E42E93">
      <w:rPr>
        <w:rFonts w:ascii="Times New Roman" w:hAnsi="Times New Roman" w:cs="Times New Roman"/>
        <w:sz w:val="18"/>
        <w:szCs w:val="18"/>
      </w:rPr>
      <w:t>, 2021</w:t>
    </w:r>
    <w:r w:rsidR="00E42E93">
      <w:rPr>
        <w:rFonts w:ascii="Times New Roman" w:hAnsi="Times New Roman" w:cs="Times New Roman"/>
        <w:sz w:val="18"/>
        <w:szCs w:val="18"/>
      </w:rPr>
      <w:tab/>
    </w:r>
    <w:r w:rsidR="00E42E93" w:rsidRPr="00E42E93">
      <w:rPr>
        <w:rFonts w:ascii="Times New Roman" w:hAnsi="Times New Roman" w:cs="Times New Roman"/>
        <w:sz w:val="18"/>
        <w:szCs w:val="18"/>
      </w:rPr>
      <w:fldChar w:fldCharType="begin"/>
    </w:r>
    <w:r w:rsidR="00E42E93" w:rsidRPr="00E42E93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="00E42E93" w:rsidRPr="00E42E93">
      <w:rPr>
        <w:rFonts w:ascii="Times New Roman" w:hAnsi="Times New Roman" w:cs="Times New Roman"/>
        <w:sz w:val="18"/>
        <w:szCs w:val="18"/>
      </w:rPr>
      <w:fldChar w:fldCharType="separate"/>
    </w:r>
    <w:r w:rsidR="00E42E93" w:rsidRPr="00E42E93">
      <w:rPr>
        <w:rFonts w:ascii="Times New Roman" w:hAnsi="Times New Roman" w:cs="Times New Roman"/>
        <w:noProof/>
        <w:sz w:val="18"/>
        <w:szCs w:val="18"/>
      </w:rPr>
      <w:t>1</w:t>
    </w:r>
    <w:r w:rsidR="00E42E93" w:rsidRPr="00E42E93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2081" w14:textId="55F6486E" w:rsidR="0028397D" w:rsidRPr="005C7953" w:rsidRDefault="0028397D" w:rsidP="0028397D">
    <w:pPr>
      <w:pStyle w:val="Header"/>
      <w:pBdr>
        <w:bottom w:val="single" w:sz="12" w:space="1" w:color="auto"/>
      </w:pBdr>
      <w:jc w:val="right"/>
      <w:rPr>
        <w:rFonts w:ascii="Times New Roman" w:hAnsi="Times New Roman"/>
        <w:b/>
      </w:rPr>
    </w:pPr>
    <w:r w:rsidRPr="005C7953">
      <w:rPr>
        <w:rFonts w:ascii="Times New Roman" w:hAnsi="Times New Roman"/>
        <w:b/>
        <w:noProof/>
      </w:rPr>
      <w:drawing>
        <wp:anchor distT="0" distB="0" distL="114300" distR="114300" simplePos="0" relativeHeight="251659264" behindDoc="0" locked="0" layoutInCell="1" allowOverlap="1" wp14:anchorId="391DAB8D" wp14:editId="424B0515">
          <wp:simplePos x="0" y="0"/>
          <wp:positionH relativeFrom="column">
            <wp:posOffset>390525</wp:posOffset>
          </wp:positionH>
          <wp:positionV relativeFrom="paragraph">
            <wp:posOffset>-95250</wp:posOffset>
          </wp:positionV>
          <wp:extent cx="2495550" cy="437509"/>
          <wp:effectExtent l="0" t="0" r="0" b="1270"/>
          <wp:wrapNone/>
          <wp:docPr id="16" name="Picture 16" descr="Foster_&amp;_Foster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ster_&amp;_Foster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9782" b="4309"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37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7953">
      <w:rPr>
        <w:rFonts w:ascii="Times New Roman" w:hAnsi="Times New Roman"/>
        <w:b/>
        <w:noProof/>
      </w:rPr>
      <w:drawing>
        <wp:anchor distT="0" distB="0" distL="114300" distR="114300" simplePos="0" relativeHeight="251660288" behindDoc="1" locked="0" layoutInCell="1" allowOverlap="1" wp14:anchorId="530ECDB2" wp14:editId="79F6020C">
          <wp:simplePos x="0" y="0"/>
          <wp:positionH relativeFrom="margin">
            <wp:posOffset>-76200</wp:posOffset>
          </wp:positionH>
          <wp:positionV relativeFrom="margin">
            <wp:posOffset>-571500</wp:posOffset>
          </wp:positionV>
          <wp:extent cx="581025" cy="533400"/>
          <wp:effectExtent l="0" t="0" r="9525" b="0"/>
          <wp:wrapNone/>
          <wp:docPr id="15" name="Picture 15" descr="Foster_&amp;_Foster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ster_&amp;_Foster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417" r="32083" b="38396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7953">
      <w:rPr>
        <w:rFonts w:ascii="Times New Roman" w:hAnsi="Times New Roman"/>
        <w:b/>
      </w:rPr>
      <w:t xml:space="preserve">VIA </w:t>
    </w:r>
    <w:r>
      <w:rPr>
        <w:rFonts w:ascii="Times New Roman" w:hAnsi="Times New Roman"/>
        <w:b/>
      </w:rPr>
      <w:t>E-MAIL</w:t>
    </w:r>
  </w:p>
  <w:p w14:paraId="5170BF57" w14:textId="77777777" w:rsidR="0028397D" w:rsidRDefault="0028397D" w:rsidP="0028397D">
    <w:pPr>
      <w:pStyle w:val="Header"/>
      <w:pBdr>
        <w:bottom w:val="single" w:sz="12" w:space="1" w:color="auto"/>
      </w:pBdr>
      <w:rPr>
        <w:sz w:val="4"/>
        <w:szCs w:val="4"/>
      </w:rPr>
    </w:pPr>
  </w:p>
  <w:p w14:paraId="6D695B92" w14:textId="77777777" w:rsidR="0028397D" w:rsidRDefault="0028397D" w:rsidP="0028397D">
    <w:pPr>
      <w:pStyle w:val="Header"/>
      <w:pBdr>
        <w:bottom w:val="single" w:sz="12" w:space="1" w:color="auto"/>
      </w:pBdr>
      <w:rPr>
        <w:sz w:val="4"/>
        <w:szCs w:val="4"/>
      </w:rPr>
    </w:pPr>
  </w:p>
  <w:p w14:paraId="7DEAF09D" w14:textId="77777777" w:rsidR="0028397D" w:rsidRDefault="0028397D" w:rsidP="0028397D">
    <w:pPr>
      <w:pStyle w:val="Header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31F2"/>
    <w:multiLevelType w:val="hybridMultilevel"/>
    <w:tmpl w:val="A8D6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20F3"/>
    <w:multiLevelType w:val="hybridMultilevel"/>
    <w:tmpl w:val="F8E65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A3884"/>
    <w:multiLevelType w:val="multilevel"/>
    <w:tmpl w:val="9A983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742F4"/>
    <w:multiLevelType w:val="hybridMultilevel"/>
    <w:tmpl w:val="25AC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641AD"/>
    <w:multiLevelType w:val="hybridMultilevel"/>
    <w:tmpl w:val="BCA807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3E8BD8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192DDC"/>
    <w:multiLevelType w:val="multilevel"/>
    <w:tmpl w:val="000A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710B8"/>
    <w:multiLevelType w:val="hybridMultilevel"/>
    <w:tmpl w:val="E81E8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A40A2"/>
    <w:multiLevelType w:val="hybridMultilevel"/>
    <w:tmpl w:val="7044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2289D"/>
    <w:multiLevelType w:val="hybridMultilevel"/>
    <w:tmpl w:val="E744B4F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9" w15:restartNumberingAfterBreak="0">
    <w:nsid w:val="43CC34F4"/>
    <w:multiLevelType w:val="hybridMultilevel"/>
    <w:tmpl w:val="4036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D15A6"/>
    <w:multiLevelType w:val="hybridMultilevel"/>
    <w:tmpl w:val="396E8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62A8E"/>
    <w:multiLevelType w:val="multilevel"/>
    <w:tmpl w:val="9B209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6B444D"/>
    <w:multiLevelType w:val="hybridMultilevel"/>
    <w:tmpl w:val="28BC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B3780"/>
    <w:multiLevelType w:val="hybridMultilevel"/>
    <w:tmpl w:val="C1846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309F3"/>
    <w:multiLevelType w:val="hybridMultilevel"/>
    <w:tmpl w:val="E714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72"/>
    <w:rsid w:val="00080D5E"/>
    <w:rsid w:val="000A608B"/>
    <w:rsid w:val="000A6687"/>
    <w:rsid w:val="000B3E1D"/>
    <w:rsid w:val="000C6825"/>
    <w:rsid w:val="000E00A5"/>
    <w:rsid w:val="000E7F51"/>
    <w:rsid w:val="000F0F89"/>
    <w:rsid w:val="000F55EF"/>
    <w:rsid w:val="000F6016"/>
    <w:rsid w:val="00101CFC"/>
    <w:rsid w:val="00134825"/>
    <w:rsid w:val="00143607"/>
    <w:rsid w:val="00165074"/>
    <w:rsid w:val="00187C44"/>
    <w:rsid w:val="001A0FEF"/>
    <w:rsid w:val="001A3D42"/>
    <w:rsid w:val="001C4471"/>
    <w:rsid w:val="001D15A4"/>
    <w:rsid w:val="001F5BED"/>
    <w:rsid w:val="00253811"/>
    <w:rsid w:val="002539A2"/>
    <w:rsid w:val="00273F7A"/>
    <w:rsid w:val="0027464F"/>
    <w:rsid w:val="002831B2"/>
    <w:rsid w:val="0028397D"/>
    <w:rsid w:val="00284000"/>
    <w:rsid w:val="002A54BE"/>
    <w:rsid w:val="002A5872"/>
    <w:rsid w:val="002B2E4B"/>
    <w:rsid w:val="002B7E2B"/>
    <w:rsid w:val="002D0E85"/>
    <w:rsid w:val="002D2105"/>
    <w:rsid w:val="00305300"/>
    <w:rsid w:val="003077BD"/>
    <w:rsid w:val="003309FA"/>
    <w:rsid w:val="003A2974"/>
    <w:rsid w:val="003F1AC8"/>
    <w:rsid w:val="003F65F1"/>
    <w:rsid w:val="003F6AAC"/>
    <w:rsid w:val="004064D7"/>
    <w:rsid w:val="0041582B"/>
    <w:rsid w:val="00423EBE"/>
    <w:rsid w:val="00425C19"/>
    <w:rsid w:val="004822D5"/>
    <w:rsid w:val="004A5309"/>
    <w:rsid w:val="004C3616"/>
    <w:rsid w:val="004D5701"/>
    <w:rsid w:val="00541E6A"/>
    <w:rsid w:val="00550022"/>
    <w:rsid w:val="00555E0D"/>
    <w:rsid w:val="00593D3E"/>
    <w:rsid w:val="005A3264"/>
    <w:rsid w:val="005B036A"/>
    <w:rsid w:val="005F3888"/>
    <w:rsid w:val="00613881"/>
    <w:rsid w:val="00613C7B"/>
    <w:rsid w:val="0062290A"/>
    <w:rsid w:val="00646EA1"/>
    <w:rsid w:val="00660BD3"/>
    <w:rsid w:val="00673F35"/>
    <w:rsid w:val="00694BCF"/>
    <w:rsid w:val="0071014D"/>
    <w:rsid w:val="00726882"/>
    <w:rsid w:val="00730D9F"/>
    <w:rsid w:val="00750C6C"/>
    <w:rsid w:val="00755D94"/>
    <w:rsid w:val="007960DF"/>
    <w:rsid w:val="007A3187"/>
    <w:rsid w:val="007A5D20"/>
    <w:rsid w:val="007B3E18"/>
    <w:rsid w:val="007C0D84"/>
    <w:rsid w:val="00802D4B"/>
    <w:rsid w:val="008144CE"/>
    <w:rsid w:val="008414B5"/>
    <w:rsid w:val="00846111"/>
    <w:rsid w:val="00847325"/>
    <w:rsid w:val="00852393"/>
    <w:rsid w:val="008532D4"/>
    <w:rsid w:val="008575DA"/>
    <w:rsid w:val="008A0227"/>
    <w:rsid w:val="008B1B1E"/>
    <w:rsid w:val="008B733C"/>
    <w:rsid w:val="008E36EA"/>
    <w:rsid w:val="0091674F"/>
    <w:rsid w:val="00935BBC"/>
    <w:rsid w:val="00943E92"/>
    <w:rsid w:val="00956007"/>
    <w:rsid w:val="00961BBA"/>
    <w:rsid w:val="009876C1"/>
    <w:rsid w:val="009B51BE"/>
    <w:rsid w:val="009B5FB1"/>
    <w:rsid w:val="00A0014A"/>
    <w:rsid w:val="00A00F87"/>
    <w:rsid w:val="00A352BC"/>
    <w:rsid w:val="00A427CA"/>
    <w:rsid w:val="00A4324A"/>
    <w:rsid w:val="00A609BD"/>
    <w:rsid w:val="00A651D6"/>
    <w:rsid w:val="00A90F87"/>
    <w:rsid w:val="00AB0A49"/>
    <w:rsid w:val="00AB79D1"/>
    <w:rsid w:val="00AF24D9"/>
    <w:rsid w:val="00B53912"/>
    <w:rsid w:val="00B72CE2"/>
    <w:rsid w:val="00BA7F08"/>
    <w:rsid w:val="00BE03FE"/>
    <w:rsid w:val="00BE0D45"/>
    <w:rsid w:val="00C2248B"/>
    <w:rsid w:val="00C36851"/>
    <w:rsid w:val="00CB20DE"/>
    <w:rsid w:val="00CE1539"/>
    <w:rsid w:val="00CE505E"/>
    <w:rsid w:val="00CE6BF9"/>
    <w:rsid w:val="00CF1EC2"/>
    <w:rsid w:val="00CF7E1A"/>
    <w:rsid w:val="00D05E84"/>
    <w:rsid w:val="00D15F85"/>
    <w:rsid w:val="00D56BBF"/>
    <w:rsid w:val="00D623BA"/>
    <w:rsid w:val="00D73507"/>
    <w:rsid w:val="00D92A5E"/>
    <w:rsid w:val="00D9425E"/>
    <w:rsid w:val="00DD722F"/>
    <w:rsid w:val="00DF101C"/>
    <w:rsid w:val="00E06F99"/>
    <w:rsid w:val="00E1232C"/>
    <w:rsid w:val="00E42E93"/>
    <w:rsid w:val="00E50293"/>
    <w:rsid w:val="00E6016C"/>
    <w:rsid w:val="00E72926"/>
    <w:rsid w:val="00E95877"/>
    <w:rsid w:val="00E96F3F"/>
    <w:rsid w:val="00EB2E18"/>
    <w:rsid w:val="00ED5D08"/>
    <w:rsid w:val="00EE41F6"/>
    <w:rsid w:val="00EF4BD9"/>
    <w:rsid w:val="00F01AB2"/>
    <w:rsid w:val="00F170E1"/>
    <w:rsid w:val="00F21373"/>
    <w:rsid w:val="00F26B73"/>
    <w:rsid w:val="00F35B35"/>
    <w:rsid w:val="00F76024"/>
    <w:rsid w:val="00FB6E94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547161"/>
  <w15:chartTrackingRefBased/>
  <w15:docId w15:val="{B3151749-176C-4612-A6BB-EC570B3C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872"/>
  </w:style>
  <w:style w:type="paragraph" w:styleId="Footer">
    <w:name w:val="footer"/>
    <w:basedOn w:val="Normal"/>
    <w:link w:val="FooterChar"/>
    <w:uiPriority w:val="99"/>
    <w:unhideWhenUsed/>
    <w:rsid w:val="002A5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872"/>
  </w:style>
  <w:style w:type="paragraph" w:styleId="BalloonText">
    <w:name w:val="Balloon Text"/>
    <w:basedOn w:val="Normal"/>
    <w:link w:val="BalloonTextChar"/>
    <w:uiPriority w:val="99"/>
    <w:semiHidden/>
    <w:unhideWhenUsed/>
    <w:rsid w:val="002A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87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23BA"/>
    <w:rPr>
      <w:color w:val="605E5C"/>
      <w:shd w:val="clear" w:color="auto" w:fill="E1DFDD"/>
    </w:rPr>
  </w:style>
  <w:style w:type="paragraph" w:customStyle="1" w:styleId="rtejustify">
    <w:name w:val="rtejustify"/>
    <w:basedOn w:val="Normal"/>
    <w:rsid w:val="00D05E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5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074"/>
    <w:rPr>
      <w:b/>
      <w:bCs/>
      <w:sz w:val="20"/>
      <w:szCs w:val="20"/>
    </w:rPr>
  </w:style>
  <w:style w:type="character" w:styleId="FootnoteReference">
    <w:name w:val="footnote reference"/>
    <w:unhideWhenUsed/>
    <w:rsid w:val="00FE2510"/>
    <w:rPr>
      <w:vertAlign w:val="superscript"/>
    </w:rPr>
  </w:style>
  <w:style w:type="table" w:styleId="TableGrid">
    <w:name w:val="Table Grid"/>
    <w:basedOn w:val="TableNormal"/>
    <w:uiPriority w:val="39"/>
    <w:rsid w:val="00FE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90F87"/>
    <w:pPr>
      <w:autoSpaceDE w:val="0"/>
      <w:autoSpaceDN w:val="0"/>
      <w:adjustRightInd w:val="0"/>
      <w:ind w:left="39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90F87"/>
    <w:rPr>
      <w:rFonts w:ascii="Arial" w:hAnsi="Arial" w:cs="Arial"/>
      <w:sz w:val="16"/>
      <w:szCs w:val="16"/>
    </w:rPr>
  </w:style>
  <w:style w:type="paragraph" w:customStyle="1" w:styleId="Default">
    <w:name w:val="Default"/>
    <w:rsid w:val="001F5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6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dol.gov/sites/dolgov/files/EBSA/about-ebsa/our-activities/resource-center/faqs/aca-part-5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06E4.944CC94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F4CEE84-C14C-43C4-BF00-62805CE89D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53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Waugh</dc:creator>
  <cp:keywords/>
  <dc:description/>
  <cp:lastModifiedBy>Nikki Chriesman-Green</cp:lastModifiedBy>
  <cp:revision>3</cp:revision>
  <cp:lastPrinted>2021-04-08T18:27:00Z</cp:lastPrinted>
  <dcterms:created xsi:type="dcterms:W3CDTF">2022-01-11T22:54:00Z</dcterms:created>
  <dcterms:modified xsi:type="dcterms:W3CDTF">2022-01-11T23:47:00Z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